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139e2f9547a40a4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51054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DJEČJI VRTIĆ VIDEK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21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>I - IX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1.079.354,89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1.510.855,55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1.063.300,24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1.420.770,33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16.054,65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90.085,22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561,1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9.492,51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87.771,93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924,6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9.492,51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87.771,93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924,6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VIŠAK/MANJAK PRIMITAKA OD FINANCIJSKE IMOVINE I ZADUŽIVANJA (šifre 8-5,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X003, 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I PRIMITAKA (šifre X678-Y345)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6.562,14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2.313,29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35,3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Dječji vrtić Videk je ustanova za rani i predškolski odgoj i obrazovanje.
Osnivač ustanove je Općina Brdovec. 
Dječji vrtić Videk nije u sustavu PDV-a.
Ukupni prihodi poslovanja realizirani su u iznosu od 1.510.855,55eura, a ukupni rashodi poslovanja u iznosu 1.420.770,33eura.
Na kraju izvještajnog razdoblja evidentiran je višak prihoda poslovanja u iznosu od 2.313,29 eura.
U navedenom razdoblju nema ostvarenih prihoda od prodaje nefinancijske imovine, dok su rashodi za nabavu nefinancijske imovine ostvareni u iznosu od 87.771,93eura, manjak prihoda od nefinancijske imovine u iznosu od 87.771,93eura.
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1.079.354,89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1.510.855,55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140,0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Ukupni prihodi poslovanja u odnosu na 2024.godinu su veći za 40%.
Prihodi za financiranje redovnog poslovanja iz nadležnog proračuna Općine Brdovec uvećani su 54,3% u odnosu na prošlu godinu. 
Ostali prihodi su od uplate roditelja za sufinanciranje za smještaj djece, program za Engleski i program Montessori.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1.063.300,24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1.420.770,33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133,6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Ukupni rashodi su uvećani za 33,6% u odnosu na prošlu godinu.
Najznačajnije povećanje rashoda evidentirano je  na stavkama stručnog usavršavanja zbog odlaska djelatnica na Erasmus projekt, 
na rashodima za zaposlene uslijed povećanja p|aća djelatnika i zapošljavanja novih djelatnika.
Uvećanje usluga tekućeg i investicijskog održavanja zbog raznih popravaka, te soboslikarskih radova u prostorijama vrtića i sanacija parketa.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Stručno usavršavanje zaposlenika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1.162,70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11.503,17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989,3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Stručno usavršavanje je uvećano zbog Erasmus projekta za djelatnice vrtića.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Uredski materijal i ostali materijalni rashodi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18.387,90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23.226,72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126,3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Uredski materijal je uvećan za 26,3% u odnosu na prošlu godinu zbog kupnje raznih didaktičkih materijala za potrebe vrtića.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Službena, radna i zaštitna odjeća i obuća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828,21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2.220,54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268,1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Službena radna i zaštitna odjeća i obuća su uvećane u odnosu na 2024.godinu za 168%, razlog je kupnja radnih kuta za odgajatelje, kupnja zaštitne odjeće za kuharice i spremačice, te  zaštitne odjeće i obuće za domare.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usluge (šifre 3231 do 3239)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51.759,69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93.045,44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179,8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Rashodi za usluge su uvećane za 79,% u odnosu na prošlu godinu za stavke usluge tekućeg i investicijskog održavanja, te studenske ugovore za pomoćnike za djecu s poteškoćama, te uslugu pranja posteljine.
Smanjenje se odnosi na usluge promidžbe i informiranja i zdravstvene usluge.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tekućeg i investicijskog održavanja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13.491,09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38.033,45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281,9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Usluge tekućeg i investicijskog održavanja su uvećane za 181,9%, razlog je sanacija parketa soba vrtića i soboslikarskih radova po više soba vrtića.
Razlog je i popravak klima, kosilica, hladnjaka, te servis plamenika, detektora plina, te servis vatrogasnih aparata i raznih drugih usluga održavanja vezanih za rad vrtića.
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Intelektualne i osobne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16.877,25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30.677,09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181,8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Stavka intelektualne i osobne usluge su uvećane za 81,8% u odnosu na prošlu godinu zbog većeg broja pomoćnika za djecu s teškoćama u razvoju.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7.046,55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8.918,42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126,6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Ostale usluge su uvećane za 26,6% zbog usluge pranja i čišćenja posteljina i ostalih potrebnih proizvoda za potrebe vrtića.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(šifre 3291 do 3299)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9.937,28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6.333,04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63,7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Ostali nespomenuti rashodi poslovanja su smanjenji u odnosu na prošlu godinu za 63,7%, 
te najznačajnije smanjenje je na ostalim nespomenutim rashodima poslovanja.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Reprezentacija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398,28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650,57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163,3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Stavka reprezentacije je uvećana za 63,3% zbog troškova za dječju biciklijadu, olimpijade za djecu, te završne priredbe vrtića.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Pristojbe i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3.311,53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2.643,36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79,8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Pristojbe i naknade su umanjene zbog smanjenje obveze na jednu osobu za plaćanje novčane naknada poslodavca zbog nezapošljavanja osoba s invaliditetom.
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Financijski rashodi (šifre 341+342+343)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209,04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269,76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129,0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Financijski rashodi su uvećani za 29% u odnosu na prošlu godinu zbog uvećanih godišnjih kripto pretplata za Finin pristup.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9.492,51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87.771,93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924,6</w:t>
            </w:r>
          </w:p>
        </w:tc>
      </w:tr>
    </w:tbl>
    <w:p>
      <w:pPr>
        <w:spacing w:before="0" w:after="0"/>
      </w:pPr>
    </w:p>
    <w:p>
      <w:pPr>
        <w:jc w:val="both"/>
        <w:pStyle w:val="Normal"/>
        <w:spacing w:line="240" w:lineRule="auto"/>
      </w:pPr>
      <w:r>
        <w:rPr>
          <w:sz w:val="24"/>
          <w:rFonts w:ascii="Times New Roman" w:hAnsi="Times New Roman"/>
        </w:rPr>
        <w:t>Rashodi za nabavu nefinancijske imovine su uvećani za račun adaptacije postojećeg objekta Dječjeg vrtića Videk, kupnja klima za potrebne prostorije, informatičke opreme i namještaja za opremanje soba u kojima borave djece, te kupnja vrtnih kućica za dvorište vrtića.</w:t>
      </w:r>
    </w:p>
    <w:p/>
  </w:body>
</w:document>
</file>

<file path=word/styles.xml><?xml version="1.0" encoding="utf-8"?>
<w:styles xmlns:w="http://schemas.openxmlformats.org/wordprocessingml/2006/main"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697544b4a6224579" /></Relationships>
</file>